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0" w:right="0" w:hanging="0"/>
        <w:jc w:val="right"/>
        <w:rPr>
          <w:b/>
          <w:b/>
          <w:color w:val="26282F"/>
        </w:rPr>
      </w:pPr>
      <w:r>
        <w:rPr>
          <w:rFonts w:ascii="Times New Roman" w:hAnsi="Times New Roman"/>
          <w:color w:val="000000"/>
          <w:sz w:val="28"/>
        </w:rPr>
        <w:t>Приложение №5 к приказу</w:t>
      </w:r>
    </w:p>
    <w:p>
      <w:pPr>
        <w:pStyle w:val="Normal"/>
        <w:ind w:left="0" w:right="0" w:hanging="0"/>
        <w:jc w:val="right"/>
        <w:rPr>
          <w:b/>
          <w:b/>
          <w:color w:val="26282F"/>
        </w:rPr>
      </w:pPr>
      <w:r>
        <w:rPr>
          <w:rFonts w:ascii="Times New Roman" w:hAnsi="Times New Roman"/>
          <w:color w:val="000000"/>
          <w:sz w:val="28"/>
        </w:rPr>
        <w:t>«О противодействии коррупции»</w:t>
      </w:r>
    </w:p>
    <w:p>
      <w:pPr>
        <w:pStyle w:val="1"/>
        <w:spacing w:lineRule="auto" w:line="24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1"/>
        <w:spacing w:lineRule="auto" w:line="240" w:before="0" w:after="0"/>
        <w:rPr/>
      </w:pPr>
      <w:r>
        <w:rPr>
          <w:rFonts w:ascii="Times New Roman" w:hAnsi="Times New Roman"/>
          <w:sz w:val="28"/>
        </w:rPr>
        <w:t>Карта коррупционных рисков в Территориальном фонде обязательного медицинского страхования Республики Саха (Якутия)</w:t>
      </w:r>
    </w:p>
    <w:p>
      <w:pPr>
        <w:pStyle w:val="Normal"/>
        <w:rPr/>
      </w:pPr>
      <w:r>
        <w:rPr/>
      </w:r>
    </w:p>
    <w:tbl>
      <w:tblPr>
        <w:tblStyle w:val="Style_3"/>
        <w:tblW w:w="1525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747"/>
        <w:gridCol w:w="2145"/>
        <w:gridCol w:w="3626"/>
        <w:gridCol w:w="1814"/>
        <w:gridCol w:w="932"/>
        <w:gridCol w:w="3978"/>
      </w:tblGrid>
      <w:tr>
        <w:trPr/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color w:val="000000"/>
                <w:sz w:val="18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18"/>
                <w:szCs w:val="20"/>
              </w:rPr>
              <w:t>Код</w:t>
            </w:r>
          </w:p>
          <w:p>
            <w:pPr>
              <w:pStyle w:val="Style2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color w:val="000000"/>
                <w:sz w:val="18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18"/>
                <w:szCs w:val="20"/>
              </w:rPr>
              <w:t>процесса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color w:val="000000"/>
                <w:sz w:val="18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18"/>
                <w:szCs w:val="20"/>
              </w:rPr>
              <w:t>Направление</w:t>
            </w:r>
          </w:p>
          <w:p>
            <w:pPr>
              <w:pStyle w:val="Style2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color w:val="000000"/>
                <w:sz w:val="18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18"/>
                <w:szCs w:val="20"/>
              </w:rPr>
              <w:t>деятельности,</w:t>
            </w:r>
          </w:p>
          <w:p>
            <w:pPr>
              <w:pStyle w:val="Style2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color w:val="000000"/>
                <w:sz w:val="18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18"/>
                <w:szCs w:val="20"/>
              </w:rPr>
              <w:t>перечень</w:t>
            </w:r>
          </w:p>
          <w:p>
            <w:pPr>
              <w:pStyle w:val="Style2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color w:val="000000"/>
                <w:sz w:val="18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18"/>
                <w:szCs w:val="20"/>
              </w:rPr>
              <w:t>функций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color w:val="000000"/>
                <w:sz w:val="18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18"/>
                <w:szCs w:val="20"/>
              </w:rPr>
              <w:t>Критическая точка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color w:val="000000"/>
                <w:sz w:val="18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18"/>
                <w:szCs w:val="20"/>
              </w:rPr>
              <w:t>Краткое описание возможной коррупционной схемы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color w:val="000000"/>
                <w:sz w:val="18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18"/>
                <w:szCs w:val="20"/>
              </w:rPr>
              <w:t>Должности,</w:t>
            </w:r>
          </w:p>
          <w:p>
            <w:pPr>
              <w:pStyle w:val="Style2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color w:val="000000"/>
                <w:sz w:val="18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18"/>
                <w:szCs w:val="20"/>
              </w:rPr>
              <w:t>замещение</w:t>
            </w:r>
          </w:p>
          <w:p>
            <w:pPr>
              <w:pStyle w:val="Style2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color w:val="000000"/>
                <w:sz w:val="18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18"/>
                <w:szCs w:val="20"/>
              </w:rPr>
              <w:t>которых</w:t>
            </w:r>
          </w:p>
          <w:p>
            <w:pPr>
              <w:pStyle w:val="Style2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color w:val="000000"/>
                <w:sz w:val="18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18"/>
                <w:szCs w:val="20"/>
              </w:rPr>
              <w:t>связано с</w:t>
            </w:r>
          </w:p>
          <w:p>
            <w:pPr>
              <w:pStyle w:val="Style2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color w:val="000000"/>
                <w:sz w:val="18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18"/>
                <w:szCs w:val="20"/>
              </w:rPr>
              <w:t>коррупционными рисками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color w:val="000000"/>
                <w:sz w:val="18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18"/>
                <w:szCs w:val="20"/>
              </w:rPr>
              <w:t>Степень</w:t>
            </w:r>
          </w:p>
          <w:p>
            <w:pPr>
              <w:pStyle w:val="Style2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color w:val="000000"/>
                <w:sz w:val="18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18"/>
                <w:szCs w:val="20"/>
              </w:rPr>
              <w:t>риска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color w:val="000000"/>
                <w:sz w:val="18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18"/>
                <w:szCs w:val="20"/>
              </w:rPr>
              <w:t>Меры по минимизации рисков в критической точке</w:t>
            </w:r>
          </w:p>
        </w:tc>
      </w:tr>
      <w:tr>
        <w:trPr/>
        <w:tc>
          <w:tcPr>
            <w:tcW w:w="1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А0</w:t>
            </w:r>
          </w:p>
        </w:tc>
        <w:tc>
          <w:tcPr>
            <w:tcW w:w="1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Организация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деятельности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Принятие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управленческих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решений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Использование своих служебных полномочий при решении личных вопросов, связанных с удовлетворением материальных потребностей должностного лица и (или) его родственников, либо иной личной заинтересованности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Директор,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заместители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директора,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начальники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управлений,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начальники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отделов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высокая</w:t>
            </w:r>
          </w:p>
        </w:tc>
        <w:tc>
          <w:tcPr>
            <w:tcW w:w="3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1) Информационная открытость деятельности (сайт ТФОМС РС(Я)) в сети интернет;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2) Соблюдение утвержденной антикоррупционной политики ТФОМС РС(Я)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3) Ознакомление с федеральным законодательством, законодательством РС(Я) и локальными нормативными актами ТФОМС РС(Я) по вопросам противодействия коррупции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4) Разъяснение работникам положений законодательства о мерах ответственности за совершение коррупционных правонарушений</w:t>
            </w:r>
          </w:p>
        </w:tc>
      </w:tr>
      <w:tr>
        <w:trPr/>
        <w:tc>
          <w:tcPr>
            <w:tcW w:w="10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 w:right="0" w:firstLine="720"/>
              <w:rPr>
                <w:color w:val="000000"/>
                <w:spacing w:val="0"/>
                <w:kern w:val="0"/>
                <w:sz w:val="22"/>
                <w:szCs w:val="20"/>
              </w:rPr>
            </w:pPr>
            <w:r>
              <w:rPr>
                <w:color w:val="000000"/>
                <w:spacing w:val="0"/>
                <w:kern w:val="0"/>
                <w:sz w:val="22"/>
                <w:szCs w:val="20"/>
              </w:rPr>
            </w:r>
          </w:p>
        </w:tc>
        <w:tc>
          <w:tcPr>
            <w:tcW w:w="17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 w:right="0" w:firstLine="720"/>
              <w:rPr>
                <w:color w:val="000000"/>
                <w:spacing w:val="0"/>
                <w:kern w:val="0"/>
                <w:sz w:val="22"/>
                <w:szCs w:val="20"/>
              </w:rPr>
            </w:pPr>
            <w:r>
              <w:rPr>
                <w:color w:val="000000"/>
                <w:spacing w:val="0"/>
                <w:kern w:val="0"/>
                <w:sz w:val="22"/>
                <w:szCs w:val="20"/>
              </w:rPr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Взаимоотношения с должностными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лицами в органах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власти 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управления, правоохранительных органах и других организациях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Дарение подарков и оказание неслужебных услуг должностным лицам в органах власти и управления, правоохранительных органах и иных организациях, за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исключением символических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знаков внимания, протокольных мероприятий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Директор,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заместители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директора,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работники,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уполномоченные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представлять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интересы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ТФОМС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РС(Я)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низкая</w:t>
            </w:r>
          </w:p>
        </w:tc>
        <w:tc>
          <w:tcPr>
            <w:tcW w:w="39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 w:right="0" w:firstLine="720"/>
              <w:rPr>
                <w:color w:val="000000"/>
                <w:spacing w:val="0"/>
                <w:kern w:val="0"/>
                <w:sz w:val="22"/>
                <w:szCs w:val="20"/>
              </w:rPr>
            </w:pPr>
            <w:r>
              <w:rPr>
                <w:color w:val="000000"/>
                <w:spacing w:val="0"/>
                <w:kern w:val="0"/>
                <w:sz w:val="22"/>
                <w:szCs w:val="20"/>
              </w:rPr>
            </w:r>
          </w:p>
        </w:tc>
      </w:tr>
      <w:tr>
        <w:trPr/>
        <w:tc>
          <w:tcPr>
            <w:tcW w:w="1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А1</w:t>
            </w:r>
          </w:p>
        </w:tc>
        <w:tc>
          <w:tcPr>
            <w:tcW w:w="1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Управление организации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ОМС, финансово-экономическое управление, управление информационно-аналитического обеспечения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Перераспределение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объемов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медицинской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помощи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Необъективное отражение информации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Первый заместитель директора, начальники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 xml:space="preserve">Управлений, Начальники ОМТП, ОЦиТ, ОФиСО, РАО, ОИО, ОЗПЗ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средняя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Решение принимается Комиссией коллегиально</w:t>
            </w:r>
          </w:p>
        </w:tc>
      </w:tr>
      <w:tr>
        <w:trPr>
          <w:trHeight w:val="1113" w:hRule="atLeast"/>
        </w:trPr>
        <w:tc>
          <w:tcPr>
            <w:tcW w:w="10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 w:right="0" w:firstLine="720"/>
              <w:rPr>
                <w:color w:val="000000"/>
                <w:spacing w:val="0"/>
                <w:kern w:val="0"/>
                <w:sz w:val="22"/>
                <w:szCs w:val="20"/>
              </w:rPr>
            </w:pPr>
            <w:r>
              <w:rPr>
                <w:color w:val="000000"/>
                <w:spacing w:val="0"/>
                <w:kern w:val="0"/>
                <w:sz w:val="22"/>
                <w:szCs w:val="20"/>
              </w:rPr>
            </w:r>
          </w:p>
        </w:tc>
        <w:tc>
          <w:tcPr>
            <w:tcW w:w="17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 w:right="0" w:firstLine="720"/>
              <w:rPr>
                <w:color w:val="000000"/>
                <w:spacing w:val="0"/>
                <w:kern w:val="0"/>
                <w:sz w:val="22"/>
                <w:szCs w:val="20"/>
              </w:rPr>
            </w:pPr>
            <w:r>
              <w:rPr>
                <w:color w:val="000000"/>
                <w:spacing w:val="0"/>
                <w:kern w:val="0"/>
                <w:sz w:val="22"/>
                <w:szCs w:val="20"/>
              </w:rPr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Доступ к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персональным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данным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застрахованных лиц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Передача персональных данных третьим лицам за денежное вознаграждение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 xml:space="preserve">Все работники, которые по должностным функциям имеют 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доступ к персональным данным сотрудников и застрахованных лиц ОМС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высокая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1) Соблюдение должностных инструкций и регламентов всеми участниками процесса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2) Организация внутреннего контроля за исполнением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должностными лицами своих обязанностей со стороны Отдела по защите информации Разъяснение работникам о мерах ответственности за совершение коррупционных правонарушений</w:t>
            </w:r>
          </w:p>
        </w:tc>
      </w:tr>
      <w:tr>
        <w:trPr/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А2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КРО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Осуществление проверок страховых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медицинских организаций и медицинских организаций, участвующих в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реализации территориальной программы ОМС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1) Нарушение процедуры составления Акта проверки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2) Необъективное отражение или не отражение выявленных нарушений и недостатков в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Акте проверки с целью получения незаконного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вознаграждения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3) Умышленное игнорирование оснований проведения внеплановых проверок, либо административное давление посредством проведения внеплановых проверок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4) Использование своих служебных полномочий при решении личных вопросов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5) Не применение финансовых санкций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Директор,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заместители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директора,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начальник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контрольно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ревизионного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отдела,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начальники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управлений,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задействованных в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осуществлении проверок,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специалисты-КРО,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другие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специалисты, в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чьи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должностные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обязанности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включена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возможность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участия в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указанных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мероприятиях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средняя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1) Соблюдение должностных инструкций и регламентов всеми участниками процесса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2) Контроль за соблюдением процедуры проведения проверки со стороны руководителя проверки в соответствии с нормативными документами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3) Контроль за объективным отражением со стороны руководителя проверки в актах проверок фактов, нарушений и недостатков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4) Соблюдение локальных нормативных актов в сфере антикоррупционной политики ТФОМС РС(Я)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5) Разъяснение работникам положений законодательства о мерах ответственности за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совершение коррупционных правонарушений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6) Коллегиальное рассмотрение материалов проверок</w:t>
            </w:r>
          </w:p>
        </w:tc>
      </w:tr>
      <w:tr>
        <w:trPr/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А3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Медико-экспертная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деятельность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Проведение медико-экономического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контроля, медико-экономической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экспертизы,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экспертизы качества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медицинской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помощи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Использование своих служебных полномочий при решении личных вопросов, связанных с удовлетворением материальной ответственности должностного лица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Директор,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заместители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директора,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специалисты,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отдела защиты прав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застрахованных граждан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средняя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Соблюдение утвержденных документов ТФОМС РС(Я) по антикоррупционной политике</w:t>
            </w:r>
          </w:p>
        </w:tc>
      </w:tr>
      <w:tr>
        <w:trPr/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А4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Финансово-экономическая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деятельность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Принятие решений об использовании средств ОМС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Неправомерное или необоснованное использование средств бюджета ТФОМС РС(Я)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Директор,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заместители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директора,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руководители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структурных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подразделений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средняя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1) Соблюдение утвержденной антикоррупционной политики ТФОМС РС(Я)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2) Соблюдение должностных инструкций и регламентов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3) Согласовательные процедуры</w:t>
            </w:r>
          </w:p>
        </w:tc>
      </w:tr>
      <w:tr>
        <w:trPr/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А5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Организационное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обеспечение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Работа со служебной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информацией,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документами,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персональными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данными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1) Использование в личных или групповых интересах, разглашение третьим лицам информации, если такая информация не подлежит официальному распространению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2) Попытка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несанкционированного доступа к информационным ресурсам, копирование электронных файлов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Искажение, сокрытие или предоставление заведомо ложных сведений в отчетных документах и справках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Директор,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заместители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директора,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начальники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управлений,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начальники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отделов,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специалисты, работающие с переданными сведениями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средняя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1) Включение в должностные инструкции работников информации о неразглашении персональных данных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2) Разъяснение работникам положений законодательства о мерах ответственности за совершение коррупционных правонарушений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3) Организация работы по контролю деятельности работников, осуществляющих составление, заполнение 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предоставление документов, справок, отчетности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4) Соблюдение субординации в контроле при составлении документов, требующих подписания у руководителей</w:t>
            </w:r>
          </w:p>
        </w:tc>
      </w:tr>
      <w:tr>
        <w:trPr/>
        <w:tc>
          <w:tcPr>
            <w:tcW w:w="1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А6</w:t>
            </w:r>
          </w:p>
        </w:tc>
        <w:tc>
          <w:tcPr>
            <w:tcW w:w="17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Бухгалтерский учет и отчетность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Расчеты по оплате труда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1) Необоснованное начисление премий, стимулирующих выплат (не в соответствии с приказами)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2) Оплата рабочего времени не в соответствии с табелями учета рабочего времени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Специалист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ОБУиО,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осуществляющий расчет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заработной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платы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средняя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1) Использование средств на оплату труда в строгом соответствии с Положением о системе оплаты труда работников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2) Разъяснения работникам, осуществляющим расчет заработной платы, норм законодательства о мерах ответственности за совершение коррупционных правонарушений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3) Проведение внутреннего финансового контроля в отношении учетных процедур в соответствии с порядком, утвержденным внутренним локальным актом</w:t>
            </w:r>
          </w:p>
        </w:tc>
      </w:tr>
      <w:tr>
        <w:trPr/>
        <w:tc>
          <w:tcPr>
            <w:tcW w:w="10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 w:right="0" w:firstLine="720"/>
              <w:rPr>
                <w:color w:val="000000"/>
                <w:spacing w:val="0"/>
                <w:kern w:val="0"/>
                <w:sz w:val="22"/>
                <w:szCs w:val="20"/>
              </w:rPr>
            </w:pPr>
            <w:r>
              <w:rPr>
                <w:color w:val="000000"/>
                <w:spacing w:val="0"/>
                <w:kern w:val="0"/>
                <w:sz w:val="22"/>
                <w:szCs w:val="20"/>
              </w:rPr>
            </w:r>
          </w:p>
        </w:tc>
        <w:tc>
          <w:tcPr>
            <w:tcW w:w="174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 w:right="0" w:firstLine="720"/>
              <w:rPr>
                <w:color w:val="000000"/>
                <w:spacing w:val="0"/>
                <w:kern w:val="0"/>
                <w:sz w:val="22"/>
                <w:szCs w:val="20"/>
              </w:rPr>
            </w:pPr>
            <w:r>
              <w:rPr>
                <w:color w:val="000000"/>
                <w:spacing w:val="0"/>
                <w:kern w:val="0"/>
                <w:sz w:val="22"/>
                <w:szCs w:val="20"/>
              </w:rPr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Списание объектов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нефинансовых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активов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Списание материальных ценностей с учета при отсутствии оснований для их списания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Главный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бухгалтер,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главные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специалисты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отдела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бухгалтерского учета 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отчетности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средняя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1) Систематическое подтверждение наличия нефинансовых активов - ежегодное проведение инвентаризации НФА;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2) Закрепление ответственности за сохранность объектов нефинансовых активов за МОЛ, лицами ответственными за сохранность и целевое использование имущества;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3) Наличие утвержденной приказом ТФОМС РС(Я) комиссии по поступлению и выбытию активов и порядка ее работы;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4) Соблюдение установленных процедур списания основных и средств материальных запасов;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5) Утверждение норм расходования ГСМ приказом ТФОМС РС(Я);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6) Проведение внутреннего финансового контроля в отношении учетных процедур в соответствии с порядком, утвержденным внутренним локальным актом</w:t>
            </w:r>
          </w:p>
        </w:tc>
      </w:tr>
      <w:tr>
        <w:trPr>
          <w:trHeight w:val="2299" w:hRule="atLeast"/>
        </w:trPr>
        <w:tc>
          <w:tcPr>
            <w:tcW w:w="10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 w:right="0" w:firstLine="720"/>
              <w:rPr>
                <w:color w:val="000000"/>
                <w:spacing w:val="0"/>
                <w:kern w:val="0"/>
                <w:sz w:val="22"/>
                <w:szCs w:val="20"/>
              </w:rPr>
            </w:pPr>
            <w:r>
              <w:rPr>
                <w:color w:val="000000"/>
                <w:spacing w:val="0"/>
                <w:kern w:val="0"/>
                <w:sz w:val="22"/>
                <w:szCs w:val="20"/>
              </w:rPr>
            </w:r>
          </w:p>
        </w:tc>
        <w:tc>
          <w:tcPr>
            <w:tcW w:w="174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 w:right="0" w:firstLine="720"/>
              <w:rPr>
                <w:color w:val="000000"/>
                <w:spacing w:val="0"/>
                <w:kern w:val="0"/>
                <w:sz w:val="22"/>
                <w:szCs w:val="20"/>
              </w:rPr>
            </w:pPr>
            <w:r>
              <w:rPr>
                <w:color w:val="000000"/>
                <w:spacing w:val="0"/>
                <w:kern w:val="0"/>
                <w:sz w:val="22"/>
                <w:szCs w:val="20"/>
              </w:rPr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Расходование денежных средств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Необоснованное перечисление денежных средств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Директор,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заместители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директора,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главный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бухгалтер,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заместитель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главного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бухгалтера,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работники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отдела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бухгалтерского учета 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отчетности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средняя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1) Проведение внутреннего финансового контроля в отношении учетных процедур расходования средств в соответствии с порядком, утвержденным внутренним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локальным актом;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2) Двухэтапное подписание документов по расходованию денежных средств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3) Контроль расходования средств бюджета в рамках казначейского обслуживания со стороны УФК по РС(Я)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4) Соблюдение утвержденной антикоррупционной политики ТФОМС РС(Я)</w:t>
            </w:r>
          </w:p>
        </w:tc>
      </w:tr>
      <w:tr>
        <w:trPr/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А7.1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Защита информационного обеспечения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Непосредственное взаимодействие с физическими лицами,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медицинскими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организациями,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страховыми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медицинскими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организациями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Установление необоснованного преимущества при оказании услуг. Требование от физических и юридических лиц информации, предоставление которой не предусмотрено федеральным законодательством, законодательством РС(Я) и локальными нормативными актами ТФОМС РС(Я)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Специалисты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Управления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информационного обеспечения, ОИБ, ОИО, РАО, ОВПУ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средняя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1) Соблюдение утвержденной антикоррупционной политики ТФОМС РС(Я)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2) Разъяснение работникам положений законодательства о мерах ответственности за совершение коррупционных правонарушений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3) Формирование ценностного отношения к профессиональной деятельности, должностным обязанностям</w:t>
            </w:r>
          </w:p>
        </w:tc>
      </w:tr>
      <w:tr>
        <w:trPr/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А7.2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Формирование и реализация плана закупок товаров и услуг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Взаимодействие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поставщиков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Сговор с контрагентом, необоснованная уступка его требованиям при приёмке товаров или услуг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Контрактный управляющий специалисты (члены комиссий по закупкам, приемочной комиссии), специалисты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(мат.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ответственные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лица) начальники управлений, отделов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средняя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1) Осуществление экспертизы поставляемого товара или услуги сотрудником, не участвующим в организации закупки;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2) Приёмка дорогостоящих товаров и услуг расширенным составом участников;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3) Соблюдение утвержденной антикоррупционной политики ТФОМС РС(Я)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4) Разъяснение работникам положений законодательства о мерах ответственности за совершение коррупционный правонарушений</w:t>
            </w:r>
          </w:p>
        </w:tc>
      </w:tr>
      <w:tr>
        <w:trPr/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А7.3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Учет программного обеспечения и оборудования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Процедура списания оборудования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Списание оборудования с целью обогащения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Участник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комиссии по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поступлению и выбытию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 xml:space="preserve">активов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 xml:space="preserve">низкий 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1) Периодическое изменение состава комиссии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2) Расширение состава комиссии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3) Соблюдение утвержденной антикоррупционной политики ТФОМС РС(Я)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4) Разъяснение работникам положений законодательства о мерах ответственности за совершение коррупционный правонарушений</w:t>
            </w:r>
          </w:p>
        </w:tc>
      </w:tr>
      <w:tr>
        <w:trPr/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А7.4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Информационная безопасность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Защита конфиденциальной информации. Сбор и обработка данных персонифицированного учета, сведений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о застрахованных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лицах 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персонифицированного учета, сведений о медицинской помощи, оказанной застрахованным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лицам в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соответствии с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законодательством РФ, а также обеспечение в пределах своей компетенции защиты сведений, составляющих информацию ограниченного доступа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Предоставление закрытой информации (данных персонифицированного учета, сведений о застрахованных лицах 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персонифицированного учета,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сведений о медицинской помощи, оказанной застрахованным лицам, сведений составляющих информацию ограниченного доступа) или доступа к ней третьим лицам (например, предоставление за денежное вознаграждение базы данных застрахованных лиц)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Начальники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управлений,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начальники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отделов,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заместители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начальников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отделов,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специалисты,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имеющие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доступ к таким сведениям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средняя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1) Организация внутреннего контроля за исполнением должностными лицами своих обязанностей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2) Соблюдение должностных инструкций и регламентов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3) Соблюдение локальных нормативных актов в сфере антикоррупционной политики ТФОМС РС(Я)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4) Использование информационных технологий в качестве приоритетного направления для осуществления служебной деятельности (служебной корреспонденции)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5) Разъяснение работникам о мерах ответственности за совершение коррупционных правонарушений</w:t>
            </w:r>
          </w:p>
        </w:tc>
      </w:tr>
      <w:tr>
        <w:trPr/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А8.1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Юридическое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сопровождение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Подготовка претензий, участие в судебных заседаниях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1) Недостаточный профессиональный и этический уровень при выполнении задачи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Сговор с контрагентом, необоснованная уступка его требованиям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Начальник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ЮО,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работники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юридического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отдела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низкая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1) Анализ материалов судебных дел в части реализации представителем ТФОМС РС(Я) утвержденной правовой позиции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2) Соблюдение утвержденной антикоррупционной политики ТФОМС РС(Я)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3) Разъяснение работникам положений законодательства о мерах ответственности за совершение коррупционных правонарушений</w:t>
            </w:r>
          </w:p>
        </w:tc>
      </w:tr>
      <w:tr>
        <w:trPr/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А8.2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Закупки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Организация и осуществление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закупок, товаров, работ и услуг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1) Отсутствие объективной потребности в закупке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2) Необоснованное завышение объемов закупаемых товаров (работ, услуг)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3) Установление необоснованных преимуществ для отдельных лиц при осуществлении закупок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4) Необоснованное ограничение конкуренции (круга возможных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поставщиков исполнителей)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5) Необоснованное завышение/ занижение начальной (максимальной) цены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контракта,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6) Усложнение/упрощение процедур определения поставщика (исполнителя)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7) Предоставление заведомо ложных сведений о проведении мониторинга цен на товары,работы, услуги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8) Заключение контрактов без соблюдения установленных процедур закупок. Подмена документов в интересах какого-либо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участника в обмен на полученное вознаграждение, принятие исполнения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поставщиком (исполнителем) обязательств по контракту, не соответствующих условия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контракта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Директор,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заместители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директора,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начальники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управлений,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начальники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отделов,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ОТО,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контрактный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управляющий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средняя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1) Информационная открытость при осуществлении закупок ТФОМС РС(Я)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2) Соблюдение при проведении закупок товаров (работ и услуг) требований по заключению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контрактов с контрагентами в соответствии с порядком, установленным действующим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законодательством Российской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Федерации (</w:t>
            </w:r>
            <w:hyperlink r:id="rId2">
              <w:r>
                <w:rPr>
                  <w:rFonts w:ascii="Times New Roman" w:hAnsi="Times New Roman"/>
                  <w:color w:val="000000"/>
                  <w:spacing w:val="0"/>
                  <w:kern w:val="0"/>
                  <w:sz w:val="18"/>
                  <w:szCs w:val="20"/>
                </w:rPr>
                <w:t>N 44-ФЗ от 05.04.2013</w:t>
              </w:r>
            </w:hyperlink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 xml:space="preserve">, </w:t>
            </w:r>
            <w:hyperlink r:id="rId3">
              <w:r>
                <w:rPr>
                  <w:rFonts w:ascii="Times New Roman" w:hAnsi="Times New Roman"/>
                  <w:color w:val="000000"/>
                  <w:spacing w:val="0"/>
                  <w:kern w:val="0"/>
                  <w:sz w:val="18"/>
                  <w:szCs w:val="20"/>
                </w:rPr>
                <w:t>N 273-ФЗ от 25.12.2008</w:t>
              </w:r>
            </w:hyperlink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 xml:space="preserve">, </w:t>
            </w:r>
            <w:hyperlink r:id="rId4">
              <w:r>
                <w:rPr>
                  <w:rFonts w:ascii="Times New Roman" w:hAnsi="Times New Roman"/>
                  <w:color w:val="000000"/>
                  <w:spacing w:val="0"/>
                  <w:kern w:val="0"/>
                  <w:sz w:val="18"/>
                  <w:szCs w:val="20"/>
                </w:rPr>
                <w:t>N 135-ФЗ от 26.07.2006</w:t>
              </w:r>
            </w:hyperlink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)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3) Разработка технической документации (задания) в соответствии с порядком, установленным действующим законодательством Российской Федерации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4) Соблюдение утвержденной антикоррупционной политики ТФОМС РС(Я)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Разъяснение работникам положений законодательства о мерах ответственности за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совершение коррупционный правонарушений</w:t>
            </w:r>
          </w:p>
        </w:tc>
      </w:tr>
      <w:tr>
        <w:trPr/>
        <w:tc>
          <w:tcPr>
            <w:tcW w:w="1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А9</w:t>
            </w:r>
          </w:p>
        </w:tc>
        <w:tc>
          <w:tcPr>
            <w:tcW w:w="1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Управление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персоналом</w:t>
            </w:r>
          </w:p>
        </w:tc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Прием на работу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Предоставление не предусмотренных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действующим законодательством Российской Федерации преимуществ (протекционизм, семейственность) при трудоустройстве и продвижение по карьерной лестнице в ТФОМС РС(Я), необъективная оценка деятельности работников, завышение результативности труда, влияющие на уровень оплаты труда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Директор,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заместители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директора,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начальники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управлений,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начальники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отделов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низкая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1) Проведение собеседования при приеме на работу лично директором, заместителями директора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2) Соблюдение утвержденной антикоррупционной политики ТФОМС РС(Я)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3) Соблюдение утвержденной процедуры при приеме на работу (Положение о кадровом делопроизводстве в ТФОМС РС(Я))</w:t>
            </w:r>
          </w:p>
        </w:tc>
      </w:tr>
      <w:tr>
        <w:trPr/>
        <w:tc>
          <w:tcPr>
            <w:tcW w:w="10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 w:right="0" w:firstLine="720"/>
              <w:rPr>
                <w:color w:val="000000"/>
                <w:spacing w:val="0"/>
                <w:kern w:val="0"/>
                <w:sz w:val="22"/>
                <w:szCs w:val="20"/>
              </w:rPr>
            </w:pPr>
            <w:r>
              <w:rPr>
                <w:color w:val="000000"/>
                <w:spacing w:val="0"/>
                <w:kern w:val="0"/>
                <w:sz w:val="22"/>
                <w:szCs w:val="20"/>
              </w:rPr>
            </w:r>
          </w:p>
        </w:tc>
        <w:tc>
          <w:tcPr>
            <w:tcW w:w="17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 w:right="0" w:firstLine="720"/>
              <w:rPr>
                <w:color w:val="000000"/>
                <w:spacing w:val="0"/>
                <w:kern w:val="0"/>
                <w:sz w:val="22"/>
                <w:szCs w:val="20"/>
              </w:rPr>
            </w:pPr>
            <w:r>
              <w:rPr>
                <w:color w:val="000000"/>
                <w:spacing w:val="0"/>
                <w:kern w:val="0"/>
                <w:sz w:val="22"/>
                <w:szCs w:val="20"/>
              </w:rPr>
            </w:r>
          </w:p>
        </w:tc>
        <w:tc>
          <w:tcPr>
            <w:tcW w:w="21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 w:right="0" w:firstLine="720"/>
              <w:rPr>
                <w:color w:val="000000"/>
                <w:spacing w:val="0"/>
                <w:kern w:val="0"/>
                <w:sz w:val="22"/>
                <w:szCs w:val="20"/>
              </w:rPr>
            </w:pPr>
            <w:r>
              <w:rPr>
                <w:color w:val="000000"/>
                <w:spacing w:val="0"/>
                <w:kern w:val="0"/>
                <w:sz w:val="22"/>
                <w:szCs w:val="20"/>
              </w:rPr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О направлении сведений о заключении трудового договора с гражданином,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замещавшим должность государственной гражданской службы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Начальник</w:t>
            </w:r>
          </w:p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ОТО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низкая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 xml:space="preserve">Соблюдение </w:t>
            </w:r>
            <w:hyperlink r:id="rId5">
              <w:r>
                <w:rPr>
                  <w:rFonts w:ascii="Times New Roman" w:hAnsi="Times New Roman"/>
                  <w:color w:val="000000"/>
                  <w:spacing w:val="0"/>
                  <w:kern w:val="0"/>
                  <w:sz w:val="18"/>
                  <w:szCs w:val="20"/>
                </w:rPr>
                <w:t>Трудового кодекса</w:t>
              </w:r>
            </w:hyperlink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 xml:space="preserve"> Российской Федерации (</w:t>
            </w:r>
            <w:hyperlink r:id="rId6">
              <w:r>
                <w:rPr>
                  <w:rFonts w:ascii="Times New Roman" w:hAnsi="Times New Roman"/>
                  <w:color w:val="000000"/>
                  <w:spacing w:val="0"/>
                  <w:kern w:val="0"/>
                  <w:sz w:val="18"/>
                  <w:szCs w:val="20"/>
                </w:rPr>
                <w:t>Статья 64.1</w:t>
              </w:r>
            </w:hyperlink>
            <w:r>
              <w:rPr>
                <w:rFonts w:ascii="Times New Roman" w:hAnsi="Times New Roman"/>
                <w:color w:val="000000"/>
                <w:spacing w:val="0"/>
                <w:kern w:val="0"/>
                <w:sz w:val="18"/>
                <w:szCs w:val="20"/>
              </w:rPr>
              <w:t>.)</w:t>
            </w:r>
          </w:p>
        </w:tc>
      </w:tr>
    </w:tbl>
    <w:p>
      <w:pPr>
        <w:pStyle w:val="Normal"/>
        <w:ind w:left="0" w:right="0" w:hanging="0"/>
        <w:rPr/>
      </w:pPr>
      <w:r>
        <w:rPr/>
      </w:r>
    </w:p>
    <w:sectPr>
      <w:headerReference w:type="default" r:id="rId7"/>
      <w:type w:val="nextPage"/>
      <w:pgSz w:orient="landscape" w:w="16838" w:h="11906"/>
      <w:pgMar w:left="800" w:right="800" w:gutter="0" w:header="720" w:top="1440" w:footer="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 CYR">
    <w:charset w:val="01"/>
    <w:family w:val="roman"/>
    <w:pitch w:val="variable"/>
  </w:font>
  <w:font w:name="XO Thames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ind w:left="0" w:right="0" w:hanging="0"/>
      <w:jc w:val="lef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Droid Sans Fallback" w:cs="Droid Sans Devanagari" w:asciiTheme="minorAscii" w:hAnsiTheme="minorHAnsi"/>
        <w:color w:val="000000"/>
        <w:sz w:val="22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4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uiPriority w:val="0"/>
    <w:qFormat/>
    <w:pPr>
      <w:widowControl w:val="false"/>
      <w:bidi w:val="0"/>
      <w:spacing w:lineRule="auto" w:line="240" w:before="0" w:after="0"/>
      <w:ind w:left="0" w:right="0" w:firstLine="720"/>
      <w:jc w:val="both"/>
    </w:pPr>
    <w:rPr>
      <w:rFonts w:ascii="Times New Roman CYR" w:hAnsi="Times New Roman CYR" w:eastAsia="Droid Sans Fallback" w:cs="Droid Sans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1">
    <w:name w:val="Heading 1"/>
    <w:basedOn w:val="Normal"/>
    <w:next w:val="Normal"/>
    <w:uiPriority w:val="9"/>
    <w:qFormat/>
    <w:pPr>
      <w:spacing w:before="108" w:after="108"/>
      <w:ind w:left="0" w:right="0" w:hanging="0"/>
      <w:jc w:val="center"/>
      <w:outlineLvl w:val="0"/>
    </w:pPr>
    <w:rPr>
      <w:b/>
      <w:color w:val="26282F"/>
    </w:rPr>
  </w:style>
  <w:style w:type="paragraph" w:styleId="2">
    <w:name w:val="Heading 2"/>
    <w:next w:val="Normal"/>
    <w:uiPriority w:val="9"/>
    <w:qFormat/>
    <w:pPr>
      <w:widowControl/>
      <w:bidi w:val="0"/>
      <w:spacing w:lineRule="auto" w:line="276" w:before="120" w:after="120"/>
      <w:ind w:left="0" w:right="0" w:hanging="0"/>
      <w:jc w:val="both"/>
      <w:outlineLvl w:val="1"/>
    </w:pPr>
    <w:rPr>
      <w:rFonts w:ascii="XO Thames" w:hAnsi="XO Thames" w:eastAsia="Droid Sans Fallback" w:cs="Droid Sans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3">
    <w:name w:val="Heading 3"/>
    <w:next w:val="Normal"/>
    <w:uiPriority w:val="9"/>
    <w:qFormat/>
    <w:pPr>
      <w:widowControl/>
      <w:bidi w:val="0"/>
      <w:spacing w:lineRule="auto" w:line="276" w:before="120" w:after="120"/>
      <w:ind w:left="0" w:right="0" w:hanging="0"/>
      <w:jc w:val="both"/>
      <w:outlineLvl w:val="2"/>
    </w:pPr>
    <w:rPr>
      <w:rFonts w:ascii="XO Thames" w:hAnsi="XO Thames" w:eastAsia="Droid Sans Fallback" w:cs="Droid Sans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4">
    <w:name w:val="Heading 4"/>
    <w:next w:val="Normal"/>
    <w:uiPriority w:val="9"/>
    <w:qFormat/>
    <w:pPr>
      <w:widowControl/>
      <w:bidi w:val="0"/>
      <w:spacing w:lineRule="auto" w:line="276" w:before="120" w:after="120"/>
      <w:ind w:left="0" w:right="0" w:hanging="0"/>
      <w:jc w:val="both"/>
      <w:outlineLvl w:val="3"/>
    </w:pPr>
    <w:rPr>
      <w:rFonts w:ascii="XO Thames" w:hAnsi="XO Thames" w:eastAsia="Droid Sans Fallback" w:cs="Droid Sans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5">
    <w:name w:val="Heading 5"/>
    <w:next w:val="Normal"/>
    <w:uiPriority w:val="9"/>
    <w:qFormat/>
    <w:pPr>
      <w:widowControl/>
      <w:bidi w:val="0"/>
      <w:spacing w:lineRule="auto" w:line="276" w:before="120" w:after="120"/>
      <w:ind w:left="0" w:right="0" w:hanging="0"/>
      <w:jc w:val="both"/>
      <w:outlineLvl w:val="4"/>
    </w:pPr>
    <w:rPr>
      <w:rFonts w:ascii="XO Thames" w:hAnsi="XO Thames" w:eastAsia="Droid Sans Fallback" w:cs="Droid Sans Devanagari"/>
      <w:b/>
      <w:color w:val="000000"/>
      <w:spacing w:val="0"/>
      <w:kern w:val="0"/>
      <w:sz w:val="22"/>
      <w:szCs w:val="20"/>
      <w:lang w:val="ru-RU" w:eastAsia="zh-CN" w:bidi="hi-IN"/>
    </w:rPr>
  </w:style>
  <w:style w:type="character" w:styleId="Contents2">
    <w:name w:val="Contents 2"/>
    <w:qFormat/>
    <w:rPr>
      <w:rFonts w:ascii="XO Thames" w:hAnsi="XO Thames"/>
      <w:sz w:val="28"/>
    </w:rPr>
  </w:style>
  <w:style w:type="character" w:styleId="Contents4">
    <w:name w:val="Contents 4"/>
    <w:qFormat/>
    <w:rPr>
      <w:rFonts w:ascii="XO Thames" w:hAnsi="XO Thames"/>
      <w:sz w:val="28"/>
    </w:rPr>
  </w:style>
  <w:style w:type="character" w:styleId="Contents6">
    <w:name w:val="Contents 6"/>
    <w:qFormat/>
    <w:rPr>
      <w:rFonts w:ascii="XO Thames" w:hAnsi="XO Thames"/>
      <w:sz w:val="28"/>
    </w:rPr>
  </w:style>
  <w:style w:type="character" w:styleId="Contents7">
    <w:name w:val="Contents 7"/>
    <w:qFormat/>
    <w:rPr>
      <w:rFonts w:ascii="XO Thames" w:hAnsi="XO Thames"/>
      <w:sz w:val="28"/>
    </w:rPr>
  </w:style>
  <w:style w:type="character" w:styleId="Header">
    <w:name w:val="Header"/>
    <w:qFormat/>
    <w:rPr/>
  </w:style>
  <w:style w:type="character" w:styleId="Heading3">
    <w:name w:val="Heading 3"/>
    <w:qFormat/>
    <w:rPr>
      <w:rFonts w:ascii="XO Thames" w:hAnsi="XO Thames"/>
      <w:b/>
      <w:sz w:val="26"/>
    </w:rPr>
  </w:style>
  <w:style w:type="character" w:styleId="DefaultParagraphFont">
    <w:name w:val="Default Paragraph Font"/>
    <w:link w:val="DefaultParagraphFont1"/>
    <w:qFormat/>
    <w:rPr/>
  </w:style>
  <w:style w:type="character" w:styleId="Footer">
    <w:name w:val="Footer"/>
    <w:qFormat/>
    <w:rPr/>
  </w:style>
  <w:style w:type="character" w:styleId="Contents3">
    <w:name w:val="Contents 3"/>
    <w:qFormat/>
    <w:rPr>
      <w:rFonts w:ascii="XO Thames" w:hAnsi="XO Thames"/>
      <w:sz w:val="28"/>
    </w:rPr>
  </w:style>
  <w:style w:type="character" w:styleId="Style9">
    <w:name w:val="Нормальный (таблица)"/>
    <w:link w:val="Style21"/>
    <w:qFormat/>
    <w:rPr/>
  </w:style>
  <w:style w:type="character" w:styleId="Heading5">
    <w:name w:val="Heading 5"/>
    <w:qFormat/>
    <w:rPr>
      <w:rFonts w:ascii="XO Thames" w:hAnsi="XO Thames"/>
      <w:b/>
      <w:sz w:val="22"/>
    </w:rPr>
  </w:style>
  <w:style w:type="character" w:styleId="Heading1">
    <w:name w:val="Heading 1"/>
    <w:qFormat/>
    <w:rPr>
      <w:b/>
      <w:color w:val="26282F"/>
    </w:rPr>
  </w:style>
  <w:style w:type="character" w:styleId="Style10">
    <w:name w:val="Интернет-ссылка"/>
    <w:rPr>
      <w:color w:val="0000FF"/>
      <w:u w:val="single"/>
    </w:rPr>
  </w:style>
  <w:style w:type="character" w:styleId="Footnote">
    <w:name w:val="Footnote"/>
    <w:link w:val="Footnote1"/>
    <w:qFormat/>
    <w:rPr>
      <w:rFonts w:ascii="XO Thames" w:hAnsi="XO Thames"/>
      <w:sz w:val="22"/>
    </w:rPr>
  </w:style>
  <w:style w:type="character" w:styleId="Contents1">
    <w:name w:val="Contents 1"/>
    <w:qFormat/>
    <w:rPr>
      <w:rFonts w:ascii="XO Thames" w:hAnsi="XO Thames"/>
      <w:b/>
      <w:sz w:val="28"/>
    </w:rPr>
  </w:style>
  <w:style w:type="character" w:styleId="HeaderandFooter">
    <w:name w:val="Header and Footer"/>
    <w:qFormat/>
    <w:rPr>
      <w:rFonts w:ascii="XO Thames" w:hAnsi="XO Thames"/>
      <w:sz w:val="20"/>
    </w:rPr>
  </w:style>
  <w:style w:type="character" w:styleId="Contents9">
    <w:name w:val="Contents 9"/>
    <w:qFormat/>
    <w:rPr>
      <w:rFonts w:ascii="XO Thames" w:hAnsi="XO Thames"/>
      <w:sz w:val="28"/>
    </w:rPr>
  </w:style>
  <w:style w:type="character" w:styleId="Contents8">
    <w:name w:val="Contents 8"/>
    <w:qFormat/>
    <w:rPr>
      <w:rFonts w:ascii="XO Thames" w:hAnsi="XO Thames"/>
      <w:sz w:val="28"/>
    </w:rPr>
  </w:style>
  <w:style w:type="character" w:styleId="Style11">
    <w:name w:val="Гипертекстовая ссылка"/>
    <w:basedOn w:val="DefaultParagraphFont"/>
    <w:link w:val="Style22"/>
    <w:qFormat/>
    <w:rPr>
      <w:b w:val="false"/>
      <w:color w:val="106BBE"/>
    </w:rPr>
  </w:style>
  <w:style w:type="character" w:styleId="Contents5">
    <w:name w:val="Contents 5"/>
    <w:qFormat/>
    <w:rPr>
      <w:rFonts w:ascii="XO Thames" w:hAnsi="XO Thames"/>
      <w:sz w:val="28"/>
    </w:rPr>
  </w:style>
  <w:style w:type="character" w:styleId="Subtitle">
    <w:name w:val="Subtitle"/>
    <w:qFormat/>
    <w:rPr>
      <w:rFonts w:ascii="XO Thames" w:hAnsi="XO Thames"/>
      <w:i/>
      <w:sz w:val="24"/>
    </w:rPr>
  </w:style>
  <w:style w:type="character" w:styleId="Style12">
    <w:name w:val="Прижатый влево"/>
    <w:link w:val="Style24"/>
    <w:qFormat/>
    <w:rPr/>
  </w:style>
  <w:style w:type="character" w:styleId="Title">
    <w:name w:val="Title"/>
    <w:qFormat/>
    <w:rPr>
      <w:rFonts w:ascii="XO Thames" w:hAnsi="XO Thames"/>
      <w:b/>
      <w:caps/>
      <w:sz w:val="40"/>
    </w:rPr>
  </w:style>
  <w:style w:type="character" w:styleId="Heading4">
    <w:name w:val="Heading 4"/>
    <w:qFormat/>
    <w:rPr>
      <w:rFonts w:ascii="XO Thames" w:hAnsi="XO Thames"/>
      <w:b/>
      <w:sz w:val="24"/>
    </w:rPr>
  </w:style>
  <w:style w:type="character" w:styleId="Heading2">
    <w:name w:val="Heading 2"/>
    <w:qFormat/>
    <w:rPr>
      <w:rFonts w:ascii="XO Thames" w:hAnsi="XO Thames"/>
      <w:b/>
      <w:sz w:val="28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Style14">
    <w:name w:val="Body Text"/>
    <w:basedOn w:val="Normal"/>
    <w:pPr>
      <w:spacing w:lineRule="auto" w:line="276" w:before="0" w:after="140"/>
    </w:pPr>
    <w:rPr/>
  </w:style>
  <w:style w:type="paragraph" w:styleId="Style15">
    <w:name w:val="List"/>
    <w:basedOn w:val="Style14"/>
    <w:pPr/>
    <w:rPr>
      <w:rFonts w:cs="Droid Sans Devanagari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Droid Sans Devanagari"/>
      <w:lang w:val="zxx" w:eastAsia="zxx" w:bidi="zxx"/>
    </w:rPr>
  </w:style>
  <w:style w:type="paragraph" w:styleId="21">
    <w:name w:val="TOC 2"/>
    <w:next w:val="Normal"/>
    <w:uiPriority w:val="39"/>
    <w:pPr>
      <w:widowControl/>
      <w:bidi w:val="0"/>
      <w:spacing w:lineRule="auto" w:line="276" w:before="0" w:after="200"/>
      <w:ind w:left="2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41">
    <w:name w:val="TOC 4"/>
    <w:next w:val="Normal"/>
    <w:uiPriority w:val="39"/>
    <w:pPr>
      <w:widowControl/>
      <w:bidi w:val="0"/>
      <w:spacing w:lineRule="auto" w:line="276" w:before="0" w:after="200"/>
      <w:ind w:left="6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6">
    <w:name w:val="TOC 6"/>
    <w:next w:val="Normal"/>
    <w:uiPriority w:val="39"/>
    <w:pPr>
      <w:widowControl/>
      <w:bidi w:val="0"/>
      <w:spacing w:lineRule="auto" w:line="276" w:before="0" w:after="200"/>
      <w:ind w:left="10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7">
    <w:name w:val="TOC 7"/>
    <w:next w:val="Normal"/>
    <w:uiPriority w:val="39"/>
    <w:pPr>
      <w:widowControl/>
      <w:bidi w:val="0"/>
      <w:spacing w:lineRule="auto" w:line="276" w:before="0" w:after="200"/>
      <w:ind w:left="12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18">
    <w:name w:val="Колонтитул"/>
    <w:qFormat/>
    <w:pPr>
      <w:widowControl/>
      <w:bidi w:val="0"/>
      <w:spacing w:lineRule="auto" w:line="240" w:before="0" w:after="200"/>
      <w:ind w:left="0" w:right="0" w:hanging="0"/>
      <w:jc w:val="both"/>
    </w:pPr>
    <w:rPr>
      <w:rFonts w:ascii="XO Thames" w:hAnsi="XO Thames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Style19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DefaultParagraphFont1">
    <w:name w:val="Default Paragraph Font"/>
    <w:link w:val="DefaultParagraphFont"/>
    <w:qFormat/>
    <w:pPr>
      <w:widowControl/>
      <w:bidi w:val="0"/>
      <w:spacing w:lineRule="auto" w:line="276" w:before="0" w:after="200"/>
      <w:ind w:left="0" w:right="0" w:hanging="0"/>
      <w:jc w:val="left"/>
    </w:pPr>
    <w:rPr>
      <w:rFonts w:ascii="Calibri" w:hAnsi="Calibri" w:eastAsia="Droid Sans Fallback" w:cs="Droid Sans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Style20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31">
    <w:name w:val="TOC 3"/>
    <w:next w:val="Normal"/>
    <w:uiPriority w:val="39"/>
    <w:pPr>
      <w:widowControl/>
      <w:bidi w:val="0"/>
      <w:spacing w:lineRule="auto" w:line="276" w:before="0" w:after="200"/>
      <w:ind w:left="4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21">
    <w:name w:val="Нормальный (таблица)"/>
    <w:basedOn w:val="Normal"/>
    <w:next w:val="Normal"/>
    <w:link w:val="Style9"/>
    <w:qFormat/>
    <w:pPr>
      <w:ind w:left="0" w:right="0" w:hanging="0"/>
    </w:pPr>
    <w:rPr/>
  </w:style>
  <w:style w:type="paragraph" w:styleId="Internetlink">
    <w:name w:val="Hyperlink"/>
    <w:qFormat/>
    <w:pPr>
      <w:widowControl/>
      <w:bidi w:val="0"/>
      <w:spacing w:lineRule="auto" w:line="276" w:before="0" w:after="200"/>
      <w:ind w:left="0" w:right="0" w:hanging="0"/>
      <w:jc w:val="left"/>
    </w:pPr>
    <w:rPr>
      <w:rFonts w:ascii="Calibri" w:hAnsi="Calibri" w:eastAsia="Droid Sans Fallback" w:cs="Droid Sans Devanagari"/>
      <w:color w:val="0000FF"/>
      <w:spacing w:val="0"/>
      <w:kern w:val="0"/>
      <w:sz w:val="22"/>
      <w:szCs w:val="20"/>
      <w:u w:val="single"/>
      <w:lang w:val="ru-RU" w:eastAsia="zh-CN" w:bidi="hi-IN"/>
    </w:rPr>
  </w:style>
  <w:style w:type="paragraph" w:styleId="Footnote1">
    <w:name w:val="Footnote"/>
    <w:link w:val="Footnote"/>
    <w:qFormat/>
    <w:pPr>
      <w:widowControl/>
      <w:bidi w:val="0"/>
      <w:spacing w:lineRule="auto" w:line="276" w:before="0" w:after="200"/>
      <w:ind w:left="0" w:right="0" w:firstLine="851"/>
      <w:jc w:val="both"/>
    </w:pPr>
    <w:rPr>
      <w:rFonts w:ascii="XO Thames" w:hAnsi="XO Thames" w:eastAsia="Droid Sans Fallback" w:cs="Droid Sans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11">
    <w:name w:val="TOC 1"/>
    <w:next w:val="Normal"/>
    <w:uiPriority w:val="39"/>
    <w:pPr>
      <w:widowControl/>
      <w:bidi w:val="0"/>
      <w:spacing w:lineRule="auto" w:line="276" w:before="0" w:after="200"/>
      <w:ind w:left="0" w:right="0" w:hanging="0"/>
      <w:jc w:val="left"/>
    </w:pPr>
    <w:rPr>
      <w:rFonts w:ascii="XO Thames" w:hAnsi="XO Thames" w:eastAsia="Droid Sans Fallback" w:cs="Droid Sans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9">
    <w:name w:val="TOC 9"/>
    <w:next w:val="Normal"/>
    <w:uiPriority w:val="39"/>
    <w:pPr>
      <w:widowControl/>
      <w:bidi w:val="0"/>
      <w:spacing w:lineRule="auto" w:line="276" w:before="0" w:after="200"/>
      <w:ind w:left="16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8">
    <w:name w:val="TOC 8"/>
    <w:next w:val="Normal"/>
    <w:uiPriority w:val="39"/>
    <w:pPr>
      <w:widowControl/>
      <w:bidi w:val="0"/>
      <w:spacing w:lineRule="auto" w:line="276" w:before="0" w:after="200"/>
      <w:ind w:left="14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22">
    <w:name w:val="Гипертекстовая ссылка"/>
    <w:basedOn w:val="DefaultParagraphFont1"/>
    <w:link w:val="Style11"/>
    <w:qFormat/>
    <w:pPr/>
    <w:rPr>
      <w:b w:val="false"/>
      <w:color w:val="106BBE"/>
    </w:rPr>
  </w:style>
  <w:style w:type="paragraph" w:styleId="51">
    <w:name w:val="TOC 5"/>
    <w:next w:val="Normal"/>
    <w:uiPriority w:val="39"/>
    <w:pPr>
      <w:widowControl/>
      <w:bidi w:val="0"/>
      <w:spacing w:lineRule="auto" w:line="276" w:before="0" w:after="200"/>
      <w:ind w:left="8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23">
    <w:name w:val="Subtitle"/>
    <w:next w:val="Normal"/>
    <w:uiPriority w:val="11"/>
    <w:qFormat/>
    <w:pPr>
      <w:widowControl/>
      <w:bidi w:val="0"/>
      <w:spacing w:lineRule="auto" w:line="276" w:before="0" w:after="200"/>
      <w:ind w:left="0" w:right="0" w:hanging="0"/>
      <w:jc w:val="both"/>
    </w:pPr>
    <w:rPr>
      <w:rFonts w:ascii="XO Thames" w:hAnsi="XO Thames" w:eastAsia="Droid Sans Fallback" w:cs="Droid Sans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Style24">
    <w:name w:val="Прижатый влево"/>
    <w:basedOn w:val="Normal"/>
    <w:next w:val="Normal"/>
    <w:link w:val="Style12"/>
    <w:qFormat/>
    <w:pPr>
      <w:ind w:left="0" w:right="0" w:hanging="0"/>
      <w:jc w:val="left"/>
    </w:pPr>
    <w:rPr/>
  </w:style>
  <w:style w:type="paragraph" w:styleId="Style25">
    <w:name w:val="Title"/>
    <w:next w:val="Normal"/>
    <w:uiPriority w:val="10"/>
    <w:qFormat/>
    <w:pPr>
      <w:widowControl/>
      <w:bidi w:val="0"/>
      <w:spacing w:lineRule="auto" w:line="276" w:before="567" w:after="567"/>
      <w:ind w:left="0" w:right="0" w:hanging="0"/>
      <w:jc w:val="center"/>
    </w:pPr>
    <w:rPr>
      <w:rFonts w:ascii="XO Thames" w:hAnsi="XO Thames" w:eastAsia="Droid Sans Fallback" w:cs="Droid Sans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table" w:default="1" w:styleId="Style_3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internet.garant.ru/document/redirect/70353464/0" TargetMode="External"/><Relationship Id="rId3" Type="http://schemas.openxmlformats.org/officeDocument/2006/relationships/hyperlink" Target="https://internet.garant.ru/document/redirect/12164203/0" TargetMode="External"/><Relationship Id="rId4" Type="http://schemas.openxmlformats.org/officeDocument/2006/relationships/hyperlink" Target="https://internet.garant.ru/document/redirect/12148517/0" TargetMode="External"/><Relationship Id="rId5" Type="http://schemas.openxmlformats.org/officeDocument/2006/relationships/hyperlink" Target="https://internet.garant.ru/document/redirect/12125268/0" TargetMode="External"/><Relationship Id="rId6" Type="http://schemas.openxmlformats.org/officeDocument/2006/relationships/hyperlink" Target="https://internet.garant.ru/document/redirect/12125268/641" TargetMode="Externa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LibreOffice/7.3.7.2$Linux_X86_64 LibreOffice_project/30$Build-2</Application>
  <AppVersion>15.0000</AppVersion>
  <Pages>6</Pages>
  <Words>1613</Words>
  <Characters>12881</Characters>
  <CharactersWithSpaces>14121</CharactersWithSpaces>
  <Paragraphs>376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2023-07-27T10:48:17Z</dcterms:modified>
  <cp:revision>1</cp:revision>
  <dc:subject/>
  <dc:title/>
</cp:coreProperties>
</file>